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A5" w:rsidRDefault="00277DA5" w:rsidP="00277DA5"/>
    <w:p w:rsidR="00277DA5" w:rsidRDefault="00277DA5" w:rsidP="00277DA5">
      <w:pPr>
        <w:tabs>
          <w:tab w:val="left" w:pos="826"/>
          <w:tab w:val="left" w:pos="1917"/>
        </w:tabs>
        <w:rPr>
          <w:rFonts w:ascii="Arial Narrow" w:hAnsi="Arial Narrow" w:cs="Arial Narrow"/>
          <w:sz w:val="20"/>
        </w:rPr>
      </w:pPr>
      <w:r>
        <w:object w:dxaOrig="642" w:dyaOrig="1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5pt;mso-position-horizontal-relative:page;mso-position-vertical-relative:page" o:ole="" filled="t">
            <v:fill color2="black"/>
            <v:imagedata r:id="rId4" o:title=""/>
          </v:shape>
          <o:OLEObject Type="Embed" ProgID="Word.Picture.8" ShapeID="_x0000_i1025" DrawAspect="Content" ObjectID="_1659852271" r:id="rId5"/>
        </w:object>
      </w:r>
      <w:r>
        <w:t xml:space="preserve"> </w:t>
      </w:r>
      <w:r w:rsidRPr="00525CCF">
        <w:rPr>
          <w:rFonts w:ascii="Arial Narrow" w:hAnsi="Arial Narrow" w:cs="Arial Narrow"/>
          <w:noProof/>
          <w:sz w:val="18"/>
          <w:szCs w:val="18"/>
          <w:lang w:val="en-IN" w:eastAsia="en-IN" w:bidi="hi-IN"/>
        </w:rPr>
        <w:drawing>
          <wp:inline distT="0" distB="0" distL="0" distR="0">
            <wp:extent cx="24574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450" cy="304800"/>
                    </a:xfrm>
                    <a:prstGeom prst="rect">
                      <a:avLst/>
                    </a:prstGeom>
                    <a:solidFill>
                      <a:srgbClr val="FFFFFF"/>
                    </a:solidFill>
                    <a:ln>
                      <a:noFill/>
                    </a:ln>
                  </pic:spPr>
                </pic:pic>
              </a:graphicData>
            </a:graphic>
          </wp:inline>
        </w:drawing>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b/>
          <w:sz w:val="28"/>
          <w:szCs w:val="28"/>
        </w:rPr>
        <w:t>LOGISTICS SERVICES</w:t>
      </w:r>
      <w:r>
        <w:rPr>
          <w:rFonts w:ascii="Arial Narrow" w:hAnsi="Arial Narrow" w:cs="Arial Narrow"/>
        </w:rPr>
        <w:t xml:space="preserve">, </w:t>
      </w:r>
    </w:p>
    <w:p w:rsidR="00277DA5" w:rsidRDefault="00277DA5" w:rsidP="00277DA5">
      <w:pPr>
        <w:tabs>
          <w:tab w:val="left" w:pos="826"/>
          <w:tab w:val="left" w:pos="1917"/>
        </w:tabs>
        <w:rPr>
          <w:rFonts w:ascii="Arial Narrow" w:hAnsi="Arial Narrow" w:cs="Arial Narrow"/>
          <w:sz w:val="20"/>
        </w:rPr>
      </w:pPr>
      <w:r w:rsidRPr="001F2955">
        <w:rPr>
          <w:rFonts w:ascii="Arial Narrow" w:hAnsi="Arial Narrow" w:cs="Arial Narrow"/>
          <w:b/>
          <w:bCs/>
          <w:sz w:val="22"/>
          <w:szCs w:val="22"/>
        </w:rPr>
        <w:t xml:space="preserve">Since 1867     (A Government </w:t>
      </w:r>
      <w:proofErr w:type="gramStart"/>
      <w:r w:rsidRPr="001F2955">
        <w:rPr>
          <w:rFonts w:ascii="Arial Narrow" w:hAnsi="Arial Narrow" w:cs="Arial Narrow"/>
          <w:b/>
          <w:bCs/>
          <w:sz w:val="22"/>
          <w:szCs w:val="22"/>
        </w:rPr>
        <w:t>of  India</w:t>
      </w:r>
      <w:proofErr w:type="gramEnd"/>
      <w:r w:rsidRPr="001F2955">
        <w:rPr>
          <w:rFonts w:ascii="Arial Narrow" w:hAnsi="Arial Narrow" w:cs="Arial Narrow"/>
          <w:b/>
          <w:bCs/>
          <w:sz w:val="22"/>
          <w:szCs w:val="22"/>
        </w:rPr>
        <w:t xml:space="preserve"> Enterprises) </w:t>
      </w:r>
      <w:r w:rsidRPr="001F2955">
        <w:rPr>
          <w:rFonts w:ascii="Arial Narrow" w:hAnsi="Arial Narrow" w:cs="Arial Narrow"/>
          <w:b/>
          <w:bCs/>
          <w:sz w:val="22"/>
          <w:szCs w:val="22"/>
        </w:rPr>
        <w:tab/>
      </w:r>
      <w:r>
        <w:rPr>
          <w:rFonts w:ascii="Arial Narrow" w:hAnsi="Arial Narrow" w:cs="Arial Narrow"/>
          <w:sz w:val="20"/>
        </w:rPr>
        <w:tab/>
        <w:t xml:space="preserve">Ascot </w:t>
      </w:r>
      <w:proofErr w:type="spellStart"/>
      <w:r>
        <w:rPr>
          <w:rFonts w:ascii="Arial Narrow" w:hAnsi="Arial Narrow" w:cs="Arial Narrow"/>
          <w:sz w:val="20"/>
        </w:rPr>
        <w:t>centre</w:t>
      </w:r>
      <w:proofErr w:type="spellEnd"/>
      <w:r>
        <w:rPr>
          <w:rFonts w:ascii="Arial Narrow" w:hAnsi="Arial Narrow" w:cs="Arial Narrow"/>
          <w:sz w:val="20"/>
        </w:rPr>
        <w:t xml:space="preserve"> , Unit No. 101 – 103 </w:t>
      </w:r>
      <w:r>
        <w:rPr>
          <w:rFonts w:ascii="Arial Narrow" w:hAnsi="Arial Narrow" w:cs="Arial Narrow"/>
          <w:sz w:val="20"/>
        </w:rPr>
        <w:tab/>
      </w:r>
    </w:p>
    <w:p w:rsidR="00277DA5" w:rsidRDefault="00277DA5" w:rsidP="00277DA5">
      <w:pPr>
        <w:tabs>
          <w:tab w:val="left" w:pos="826"/>
          <w:tab w:val="left" w:pos="1917"/>
        </w:tabs>
        <w:rPr>
          <w:rFonts w:ascii="Arial Narrow" w:hAnsi="Arial Narrow" w:cs="Arial Narrow"/>
          <w:sz w:val="20"/>
        </w:rPr>
      </w:pP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r>
      <w:r>
        <w:rPr>
          <w:rFonts w:ascii="Arial Narrow" w:hAnsi="Arial Narrow" w:cs="Arial Narrow"/>
          <w:sz w:val="20"/>
        </w:rPr>
        <w:tab/>
        <w:t>D.P. Road, Andheri East, Mumbai -400 099</w:t>
      </w:r>
      <w:r>
        <w:rPr>
          <w:rFonts w:ascii="Arial Narrow" w:hAnsi="Arial Narrow" w:cs="Arial Narrow"/>
          <w:sz w:val="20"/>
        </w:rPr>
        <w:tab/>
      </w:r>
      <w:r>
        <w:rPr>
          <w:rFonts w:ascii="Arial Narrow" w:hAnsi="Arial Narrow" w:cs="Arial Narrow"/>
          <w:sz w:val="20"/>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bookmarkStart w:id="0" w:name="_GoBack"/>
      <w:bookmarkEnd w:id="0"/>
      <w:r>
        <w:rPr>
          <w:rFonts w:ascii="Arial Narrow" w:hAnsi="Arial Narrow" w:cs="Arial Narrow"/>
          <w:sz w:val="20"/>
        </w:rPr>
        <w:t>Tel- 28266707,8249, Fax-91-22-28364311</w:t>
      </w:r>
    </w:p>
    <w:p w:rsidR="00277DA5" w:rsidRDefault="00277DA5" w:rsidP="00277DA5">
      <w:pPr>
        <w:tabs>
          <w:tab w:val="left" w:pos="826"/>
          <w:tab w:val="left" w:pos="1917"/>
        </w:tabs>
        <w:rPr>
          <w:b/>
          <w:bCs/>
        </w:rPr>
      </w:pPr>
      <w:r>
        <w:rPr>
          <w:rFonts w:ascii="Arial Narrow" w:hAnsi="Arial Narrow" w:cs="Arial Narrow"/>
          <w:sz w:val="20"/>
        </w:rPr>
        <w:tab/>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r w:rsidRPr="001F6553">
        <w:rPr>
          <w:i w:val="0"/>
          <w:iCs/>
          <w:sz w:val="22"/>
          <w:szCs w:val="22"/>
        </w:rPr>
        <w:t xml:space="preserve">Tender no. BL/LOG/MUM/005/ 20-21 </w:t>
      </w:r>
      <w:r w:rsidRPr="001F6553">
        <w:rPr>
          <w:i w:val="0"/>
          <w:iCs/>
          <w:sz w:val="22"/>
          <w:szCs w:val="22"/>
        </w:rPr>
        <w:tab/>
      </w:r>
      <w:r w:rsidRPr="001F6553">
        <w:rPr>
          <w:i w:val="0"/>
          <w:iCs/>
          <w:sz w:val="22"/>
          <w:szCs w:val="22"/>
        </w:rPr>
        <w:tab/>
      </w:r>
      <w:r w:rsidRPr="001F6553">
        <w:rPr>
          <w:i w:val="0"/>
          <w:iCs/>
          <w:sz w:val="22"/>
          <w:szCs w:val="22"/>
        </w:rPr>
        <w:tab/>
      </w:r>
      <w:r w:rsidRPr="001F6553">
        <w:rPr>
          <w:i w:val="0"/>
          <w:iCs/>
          <w:sz w:val="22"/>
          <w:szCs w:val="22"/>
        </w:rPr>
        <w:tab/>
        <w:t xml:space="preserve">25.08.2020   </w:t>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r w:rsidRPr="001F6553">
        <w:rPr>
          <w:i w:val="0"/>
          <w:iCs/>
          <w:sz w:val="22"/>
          <w:szCs w:val="22"/>
        </w:rPr>
        <w:t xml:space="preserve">To </w:t>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r w:rsidRPr="001F6553">
        <w:rPr>
          <w:i w:val="0"/>
          <w:iCs/>
          <w:sz w:val="22"/>
          <w:szCs w:val="22"/>
        </w:rPr>
        <w:t xml:space="preserve">Dear Sir, </w:t>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r w:rsidRPr="001F6553">
        <w:rPr>
          <w:i w:val="0"/>
          <w:iCs/>
          <w:sz w:val="22"/>
          <w:szCs w:val="22"/>
        </w:rPr>
        <w:t xml:space="preserve">Sub: </w:t>
      </w:r>
      <w:proofErr w:type="gramStart"/>
      <w:r w:rsidRPr="001F6553">
        <w:rPr>
          <w:i w:val="0"/>
          <w:iCs/>
          <w:sz w:val="22"/>
          <w:szCs w:val="22"/>
        </w:rPr>
        <w:t>TENDER  FOR</w:t>
      </w:r>
      <w:proofErr w:type="gramEnd"/>
      <w:r w:rsidRPr="001F6553">
        <w:rPr>
          <w:i w:val="0"/>
          <w:iCs/>
          <w:sz w:val="22"/>
          <w:szCs w:val="22"/>
        </w:rPr>
        <w:t xml:space="preserve">   TRANSPORTATION OF   IMPORT  SHIPMENT FROM SAHAR  AIR  CARGO  COMPLEX   TO VARIOUS   DESTINATIONS</w:t>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r w:rsidRPr="001F6553">
        <w:rPr>
          <w:i w:val="0"/>
          <w:iCs/>
          <w:sz w:val="22"/>
          <w:szCs w:val="22"/>
        </w:rPr>
        <w:t xml:space="preserve">Sealed bids   are  invited  for  transportation  of  customs  cleared  Import shipment  from </w:t>
      </w:r>
      <w:proofErr w:type="spellStart"/>
      <w:r w:rsidRPr="001F6553">
        <w:rPr>
          <w:i w:val="0"/>
          <w:iCs/>
          <w:sz w:val="22"/>
          <w:szCs w:val="22"/>
        </w:rPr>
        <w:t>sahar</w:t>
      </w:r>
      <w:proofErr w:type="spellEnd"/>
      <w:r w:rsidRPr="001F6553">
        <w:rPr>
          <w:i w:val="0"/>
          <w:iCs/>
          <w:sz w:val="22"/>
          <w:szCs w:val="22"/>
        </w:rPr>
        <w:t xml:space="preserve">  air cargo complex Mumbai to  various destinations </w:t>
      </w: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
    <w:p w:rsidR="00277DA5" w:rsidRPr="001F6553" w:rsidRDefault="00277DA5" w:rsidP="00277DA5">
      <w:pPr>
        <w:pStyle w:val="TableHeading"/>
        <w:widowControl/>
        <w:tabs>
          <w:tab w:val="left" w:pos="826"/>
        </w:tabs>
        <w:suppressAutoHyphens w:val="0"/>
        <w:overflowPunct/>
        <w:autoSpaceDE/>
        <w:spacing w:after="0"/>
        <w:jc w:val="both"/>
        <w:textAlignment w:val="auto"/>
        <w:rPr>
          <w:i w:val="0"/>
          <w:iCs/>
          <w:sz w:val="22"/>
          <w:szCs w:val="22"/>
        </w:rPr>
      </w:pPr>
      <w:proofErr w:type="gramStart"/>
      <w:r w:rsidRPr="001F6553">
        <w:rPr>
          <w:i w:val="0"/>
          <w:iCs/>
          <w:sz w:val="22"/>
          <w:szCs w:val="22"/>
        </w:rPr>
        <w:t>Estimated  quantity</w:t>
      </w:r>
      <w:proofErr w:type="gramEnd"/>
      <w:r w:rsidRPr="001F6553">
        <w:rPr>
          <w:i w:val="0"/>
          <w:iCs/>
          <w:sz w:val="22"/>
          <w:szCs w:val="22"/>
        </w:rPr>
        <w:t xml:space="preserve"> </w:t>
      </w:r>
    </w:p>
    <w:p w:rsidR="00277DA5" w:rsidRPr="001F6553" w:rsidRDefault="00277DA5" w:rsidP="00277DA5">
      <w:pPr>
        <w:pStyle w:val="BodyText"/>
        <w:tabs>
          <w:tab w:val="left" w:pos="826"/>
        </w:tabs>
        <w:jc w:val="both"/>
        <w:rPr>
          <w:rFonts w:eastAsia="TimesNewRomanPSMT"/>
          <w:sz w:val="22"/>
          <w:szCs w:val="22"/>
        </w:rPr>
      </w:pPr>
      <w:r w:rsidRPr="001F6553">
        <w:rPr>
          <w:rFonts w:eastAsia="TimesNewRomanPSMT"/>
          <w:sz w:val="22"/>
          <w:szCs w:val="22"/>
        </w:rPr>
        <w:t xml:space="preserve">Movement of </w:t>
      </w:r>
      <w:proofErr w:type="gramStart"/>
      <w:r w:rsidRPr="001F6553">
        <w:rPr>
          <w:rFonts w:eastAsia="TimesNewRomanPSMT"/>
          <w:sz w:val="22"/>
          <w:szCs w:val="22"/>
        </w:rPr>
        <w:t>cargo  is</w:t>
      </w:r>
      <w:proofErr w:type="gramEnd"/>
      <w:r w:rsidRPr="001F6553">
        <w:rPr>
          <w:rFonts w:eastAsia="TimesNewRomanPSMT"/>
          <w:sz w:val="22"/>
          <w:szCs w:val="22"/>
        </w:rPr>
        <w:t xml:space="preserve">  every alternative days within Mumbai Limits   which covers approximately 75 </w:t>
      </w:r>
      <w:proofErr w:type="spellStart"/>
      <w:r w:rsidRPr="001F6553">
        <w:rPr>
          <w:rFonts w:eastAsia="TimesNewRomanPSMT"/>
          <w:sz w:val="22"/>
          <w:szCs w:val="22"/>
        </w:rPr>
        <w:t>kms</w:t>
      </w:r>
      <w:proofErr w:type="spellEnd"/>
      <w:r w:rsidRPr="001F6553">
        <w:rPr>
          <w:rFonts w:eastAsia="TimesNewRomanPSMT"/>
          <w:sz w:val="22"/>
          <w:szCs w:val="22"/>
        </w:rPr>
        <w:t xml:space="preserve">  from Sahar Air Cargo complex . For outstations, the trips </w:t>
      </w:r>
      <w:proofErr w:type="gramStart"/>
      <w:r w:rsidRPr="001F6553">
        <w:rPr>
          <w:rFonts w:eastAsia="TimesNewRomanPSMT"/>
          <w:sz w:val="22"/>
          <w:szCs w:val="22"/>
        </w:rPr>
        <w:t>are  for</w:t>
      </w:r>
      <w:proofErr w:type="gramEnd"/>
      <w:r w:rsidRPr="001F6553">
        <w:rPr>
          <w:rFonts w:eastAsia="TimesNewRomanPSMT"/>
          <w:sz w:val="22"/>
          <w:szCs w:val="22"/>
        </w:rPr>
        <w:t xml:space="preserve">  every fortnight. The </w:t>
      </w:r>
      <w:proofErr w:type="gramStart"/>
      <w:r w:rsidRPr="001F6553">
        <w:rPr>
          <w:rFonts w:eastAsia="TimesNewRomanPSMT"/>
          <w:sz w:val="22"/>
          <w:szCs w:val="22"/>
        </w:rPr>
        <w:t>above  numbers</w:t>
      </w:r>
      <w:proofErr w:type="gramEnd"/>
      <w:r w:rsidRPr="001F6553">
        <w:rPr>
          <w:rFonts w:eastAsia="TimesNewRomanPSMT"/>
          <w:sz w:val="22"/>
          <w:szCs w:val="22"/>
        </w:rPr>
        <w:t xml:space="preserve"> are  indicative only and  actual  may vary during the  execution of  contract. The </w:t>
      </w:r>
      <w:proofErr w:type="gramStart"/>
      <w:r w:rsidRPr="001F6553">
        <w:rPr>
          <w:rFonts w:eastAsia="TimesNewRomanPSMT"/>
          <w:sz w:val="22"/>
          <w:szCs w:val="22"/>
        </w:rPr>
        <w:t xml:space="preserve">transportation  </w:t>
      </w:r>
      <w:proofErr w:type="spellStart"/>
      <w:r w:rsidRPr="001F6553">
        <w:rPr>
          <w:rFonts w:eastAsia="TimesNewRomanPSMT"/>
          <w:sz w:val="22"/>
          <w:szCs w:val="22"/>
        </w:rPr>
        <w:t>woud</w:t>
      </w:r>
      <w:proofErr w:type="spellEnd"/>
      <w:proofErr w:type="gramEnd"/>
      <w:r w:rsidRPr="001F6553">
        <w:rPr>
          <w:rFonts w:eastAsia="TimesNewRomanPSMT"/>
          <w:sz w:val="22"/>
          <w:szCs w:val="22"/>
        </w:rPr>
        <w:t xml:space="preserve">  mainly  involve  small and  medium goods carrier depending on the weigh and dimensions.</w:t>
      </w:r>
    </w:p>
    <w:p w:rsidR="00277DA5" w:rsidRPr="001F6553" w:rsidRDefault="00277DA5" w:rsidP="00277DA5">
      <w:pPr>
        <w:pStyle w:val="BodyText"/>
        <w:tabs>
          <w:tab w:val="left" w:pos="826"/>
        </w:tabs>
        <w:jc w:val="both"/>
        <w:rPr>
          <w:rFonts w:eastAsia="TimesNewRomanPSMT"/>
          <w:sz w:val="22"/>
          <w:szCs w:val="22"/>
        </w:rPr>
      </w:pPr>
      <w:r w:rsidRPr="001F6553">
        <w:rPr>
          <w:rFonts w:eastAsia="TimesNewRomanPSMT"/>
          <w:b/>
          <w:bCs/>
          <w:sz w:val="22"/>
          <w:szCs w:val="22"/>
        </w:rPr>
        <w:t xml:space="preserve">Period </w:t>
      </w:r>
      <w:proofErr w:type="gramStart"/>
      <w:r w:rsidRPr="001F6553">
        <w:rPr>
          <w:rFonts w:eastAsia="TimesNewRomanPSMT"/>
          <w:b/>
          <w:bCs/>
          <w:sz w:val="22"/>
          <w:szCs w:val="22"/>
        </w:rPr>
        <w:t>of  contract</w:t>
      </w:r>
      <w:proofErr w:type="gramEnd"/>
      <w:r w:rsidRPr="001F6553">
        <w:rPr>
          <w:rFonts w:eastAsia="TimesNewRomanPSMT"/>
          <w:b/>
          <w:bCs/>
          <w:sz w:val="22"/>
          <w:szCs w:val="22"/>
        </w:rPr>
        <w:t xml:space="preserve"> :-</w:t>
      </w:r>
      <w:r w:rsidRPr="001F6553">
        <w:rPr>
          <w:rFonts w:eastAsia="TimesNewRomanPSMT"/>
          <w:sz w:val="22"/>
          <w:szCs w:val="22"/>
        </w:rPr>
        <w:t xml:space="preserve">Contract  period  shall be  </w:t>
      </w:r>
      <w:proofErr w:type="spellStart"/>
      <w:r w:rsidRPr="001F6553">
        <w:rPr>
          <w:rFonts w:eastAsia="TimesNewRomanPSMT"/>
          <w:sz w:val="22"/>
          <w:szCs w:val="22"/>
        </w:rPr>
        <w:t>upto</w:t>
      </w:r>
      <w:proofErr w:type="spellEnd"/>
      <w:r w:rsidRPr="001F6553">
        <w:rPr>
          <w:rFonts w:eastAsia="TimesNewRomanPSMT"/>
          <w:sz w:val="22"/>
          <w:szCs w:val="22"/>
        </w:rPr>
        <w:t xml:space="preserve">  31.03.2020 . The contract can be   </w:t>
      </w:r>
      <w:proofErr w:type="gramStart"/>
      <w:r w:rsidRPr="001F6553">
        <w:rPr>
          <w:rFonts w:eastAsia="TimesNewRomanPSMT"/>
          <w:sz w:val="22"/>
          <w:szCs w:val="22"/>
        </w:rPr>
        <w:t xml:space="preserve">extended </w:t>
      </w:r>
      <w:r>
        <w:rPr>
          <w:rFonts w:eastAsia="TimesNewRomanPSMT"/>
          <w:sz w:val="22"/>
          <w:szCs w:val="22"/>
        </w:rPr>
        <w:t xml:space="preserve"> for</w:t>
      </w:r>
      <w:proofErr w:type="gramEnd"/>
      <w:r>
        <w:rPr>
          <w:rFonts w:eastAsia="TimesNewRomanPSMT"/>
          <w:sz w:val="22"/>
          <w:szCs w:val="22"/>
        </w:rPr>
        <w:t xml:space="preserve">  further period  </w:t>
      </w:r>
      <w:r w:rsidRPr="001F6553">
        <w:rPr>
          <w:rFonts w:eastAsia="TimesNewRomanPSMT"/>
          <w:sz w:val="22"/>
          <w:szCs w:val="22"/>
        </w:rPr>
        <w:t>on mutual</w:t>
      </w:r>
      <w:r>
        <w:rPr>
          <w:rFonts w:eastAsia="TimesNewRomanPSMT"/>
          <w:sz w:val="22"/>
          <w:szCs w:val="22"/>
        </w:rPr>
        <w:t xml:space="preserve"> agreement  </w:t>
      </w:r>
    </w:p>
    <w:p w:rsidR="00277DA5" w:rsidRPr="001F6553" w:rsidRDefault="00277DA5" w:rsidP="00277DA5">
      <w:pPr>
        <w:pStyle w:val="BodyText"/>
        <w:tabs>
          <w:tab w:val="left" w:pos="826"/>
        </w:tabs>
        <w:jc w:val="both"/>
        <w:rPr>
          <w:rFonts w:eastAsia="TimesNewRomanPSMT"/>
          <w:sz w:val="22"/>
          <w:szCs w:val="22"/>
        </w:rPr>
      </w:pPr>
      <w:proofErr w:type="gramStart"/>
      <w:r w:rsidRPr="001F6553">
        <w:rPr>
          <w:rFonts w:eastAsia="TimesNewRomanPSMT"/>
          <w:sz w:val="22"/>
          <w:szCs w:val="22"/>
        </w:rPr>
        <w:t>Value  of</w:t>
      </w:r>
      <w:proofErr w:type="gramEnd"/>
      <w:r w:rsidRPr="001F6553">
        <w:rPr>
          <w:rFonts w:eastAsia="TimesNewRomanPSMT"/>
          <w:sz w:val="22"/>
          <w:szCs w:val="22"/>
        </w:rPr>
        <w:t xml:space="preserve">  Contract :- 2.0 lakhs</w:t>
      </w:r>
    </w:p>
    <w:p w:rsidR="00277DA5" w:rsidRPr="007368C7" w:rsidRDefault="00277DA5" w:rsidP="00277DA5">
      <w:pPr>
        <w:pStyle w:val="BodyText"/>
        <w:tabs>
          <w:tab w:val="left" w:pos="826"/>
        </w:tabs>
        <w:jc w:val="both"/>
        <w:rPr>
          <w:rFonts w:eastAsia="TimesNewRomanPSMT"/>
          <w:sz w:val="20"/>
        </w:rPr>
      </w:pPr>
      <w:r w:rsidRPr="001F6553">
        <w:rPr>
          <w:rFonts w:eastAsia="TimesNewRomanPSMT"/>
          <w:sz w:val="22"/>
          <w:szCs w:val="22"/>
        </w:rPr>
        <w:t xml:space="preserve">You are requested to quote your </w:t>
      </w:r>
      <w:proofErr w:type="gramStart"/>
      <w:r w:rsidRPr="001F6553">
        <w:rPr>
          <w:rFonts w:eastAsia="TimesNewRomanPSMT"/>
          <w:sz w:val="22"/>
          <w:szCs w:val="22"/>
        </w:rPr>
        <w:t>rate  for</w:t>
      </w:r>
      <w:proofErr w:type="gramEnd"/>
      <w:r w:rsidRPr="001F6553">
        <w:rPr>
          <w:rFonts w:eastAsia="TimesNewRomanPSMT"/>
          <w:sz w:val="22"/>
          <w:szCs w:val="22"/>
        </w:rPr>
        <w:t xml:space="preserve"> transportation from Air Cargo Complex  Andheri to following destinations</w:t>
      </w:r>
      <w:r w:rsidRPr="007368C7">
        <w:rPr>
          <w:rFonts w:eastAsia="TimesNewRomanPSMT"/>
          <w:sz w:val="20"/>
        </w:rPr>
        <w:t xml:space="preserve">  </w:t>
      </w:r>
      <w:r w:rsidRPr="007368C7">
        <w:rPr>
          <w:rFonts w:eastAsia="TimesNewRomanPSMT"/>
          <w:sz w:val="20"/>
        </w:rPr>
        <w:tab/>
      </w:r>
      <w:r w:rsidRPr="007368C7">
        <w:rPr>
          <w:rFonts w:eastAsia="TimesNewRomanPSMT"/>
          <w:sz w:val="20"/>
        </w:rPr>
        <w:tab/>
      </w:r>
      <w:r w:rsidRPr="007368C7">
        <w:rPr>
          <w:rFonts w:eastAsia="TimesNewRomanPSMT"/>
          <w:sz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905"/>
        <w:gridCol w:w="1486"/>
        <w:gridCol w:w="1038"/>
        <w:gridCol w:w="1024"/>
        <w:gridCol w:w="1658"/>
        <w:gridCol w:w="1274"/>
      </w:tblGrid>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 </w:t>
            </w:r>
          </w:p>
        </w:tc>
        <w:tc>
          <w:tcPr>
            <w:tcW w:w="905"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CHOTA HATHI </w:t>
            </w:r>
          </w:p>
        </w:tc>
        <w:tc>
          <w:tcPr>
            <w:tcW w:w="1673"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TEMPO 407</w:t>
            </w:r>
          </w:p>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2.0 MT  Capacity </w:t>
            </w:r>
          </w:p>
        </w:tc>
        <w:tc>
          <w:tcPr>
            <w:tcW w:w="1134"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Canter 5.0 </w:t>
            </w:r>
            <w:proofErr w:type="spellStart"/>
            <w:r w:rsidRPr="007368C7">
              <w:rPr>
                <w:rFonts w:eastAsia="TimesNewRomanPSMT"/>
                <w:sz w:val="20"/>
              </w:rPr>
              <w:t>mt</w:t>
            </w:r>
            <w:proofErr w:type="spellEnd"/>
            <w:r w:rsidRPr="007368C7">
              <w:rPr>
                <w:rFonts w:eastAsia="TimesNewRomanPSMT"/>
                <w:sz w:val="20"/>
              </w:rPr>
              <w:t xml:space="preserve">  </w:t>
            </w:r>
          </w:p>
        </w:tc>
        <w:tc>
          <w:tcPr>
            <w:tcW w:w="1134" w:type="dxa"/>
          </w:tcPr>
          <w:p w:rsidR="00277DA5" w:rsidRPr="007368C7" w:rsidRDefault="00277DA5" w:rsidP="00C638CA">
            <w:pPr>
              <w:pStyle w:val="BodyText"/>
              <w:tabs>
                <w:tab w:val="left" w:pos="826"/>
              </w:tabs>
              <w:rPr>
                <w:rFonts w:eastAsia="TimesNewRomanPSMT"/>
                <w:sz w:val="20"/>
              </w:rPr>
            </w:pPr>
            <w:r>
              <w:rPr>
                <w:rFonts w:eastAsia="TimesNewRomanPSMT"/>
                <w:sz w:val="20"/>
              </w:rPr>
              <w:t xml:space="preserve">Truck 7.0 </w:t>
            </w:r>
            <w:proofErr w:type="spellStart"/>
            <w:r>
              <w:rPr>
                <w:rFonts w:eastAsia="TimesNewRomanPSMT"/>
                <w:sz w:val="20"/>
              </w:rPr>
              <w:t>mt</w:t>
            </w:r>
            <w:proofErr w:type="spellEnd"/>
            <w:r>
              <w:rPr>
                <w:rFonts w:eastAsia="TimesNewRomanPSMT"/>
                <w:sz w:val="20"/>
              </w:rPr>
              <w:t xml:space="preserve">  </w:t>
            </w:r>
          </w:p>
        </w:tc>
        <w:tc>
          <w:tcPr>
            <w:tcW w:w="1857" w:type="dxa"/>
          </w:tcPr>
          <w:p w:rsidR="00277DA5" w:rsidRDefault="00277DA5" w:rsidP="00C638CA">
            <w:pPr>
              <w:pStyle w:val="BodyText"/>
              <w:tabs>
                <w:tab w:val="left" w:pos="826"/>
              </w:tabs>
              <w:rPr>
                <w:rFonts w:eastAsia="TimesNewRomanPSMT"/>
                <w:sz w:val="20"/>
              </w:rPr>
            </w:pPr>
            <w:r w:rsidRPr="007368C7">
              <w:rPr>
                <w:rFonts w:eastAsia="TimesNewRomanPSMT"/>
                <w:sz w:val="20"/>
              </w:rPr>
              <w:t>20 FT TRAILER</w:t>
            </w:r>
          </w:p>
          <w:p w:rsidR="00277DA5" w:rsidRPr="007368C7" w:rsidRDefault="00277DA5" w:rsidP="00C638CA">
            <w:pPr>
              <w:pStyle w:val="BodyText"/>
              <w:tabs>
                <w:tab w:val="left" w:pos="826"/>
              </w:tabs>
              <w:rPr>
                <w:rFonts w:eastAsia="TimesNewRomanPSMT"/>
                <w:sz w:val="20"/>
              </w:rPr>
            </w:pPr>
            <w:r>
              <w:rPr>
                <w:rFonts w:eastAsia="TimesNewRomanPSMT"/>
                <w:sz w:val="20"/>
              </w:rPr>
              <w:t xml:space="preserve"> 9..0 </w:t>
            </w:r>
            <w:proofErr w:type="spellStart"/>
            <w:r>
              <w:rPr>
                <w:rFonts w:eastAsia="TimesNewRomanPSMT"/>
                <w:sz w:val="20"/>
              </w:rPr>
              <w:t>mt</w:t>
            </w:r>
            <w:proofErr w:type="spellEnd"/>
            <w:r>
              <w:rPr>
                <w:rFonts w:eastAsia="TimesNewRomanPSMT"/>
                <w:sz w:val="20"/>
              </w:rPr>
              <w:t xml:space="preserve"> </w:t>
            </w:r>
            <w:r w:rsidRPr="007368C7">
              <w:rPr>
                <w:rFonts w:eastAsia="TimesNewRomanPSMT"/>
                <w:sz w:val="20"/>
              </w:rPr>
              <w:t xml:space="preserve"> </w:t>
            </w:r>
          </w:p>
        </w:tc>
        <w:tc>
          <w:tcPr>
            <w:tcW w:w="1345"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40FT TRAILER </w:t>
            </w:r>
          </w:p>
          <w:p w:rsidR="00277DA5" w:rsidRPr="007368C7" w:rsidRDefault="00277DA5" w:rsidP="00C638CA">
            <w:pPr>
              <w:pStyle w:val="BodyText"/>
              <w:tabs>
                <w:tab w:val="left" w:pos="826"/>
              </w:tabs>
              <w:rPr>
                <w:rFonts w:eastAsia="TimesNewRomanPSMT"/>
                <w:sz w:val="20"/>
              </w:rPr>
            </w:pPr>
            <w:r>
              <w:rPr>
                <w:rFonts w:eastAsia="TimesNewRomanPSMT"/>
                <w:sz w:val="20"/>
              </w:rPr>
              <w:t xml:space="preserve">12.0 </w:t>
            </w:r>
            <w:proofErr w:type="spellStart"/>
            <w:r>
              <w:rPr>
                <w:rFonts w:eastAsia="TimesNewRomanPSMT"/>
                <w:sz w:val="20"/>
              </w:rPr>
              <w:t>mt</w:t>
            </w:r>
            <w:proofErr w:type="spellEnd"/>
            <w:r>
              <w:rPr>
                <w:rFonts w:eastAsia="TimesNewRomanPSMT"/>
                <w:sz w:val="20"/>
              </w:rPr>
              <w:t xml:space="preserve"> </w:t>
            </w: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SAKINAKA</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SION</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BHANDUP</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GHATKOPAR</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SEWREE</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DOCKYARD</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COLABA</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Pr>
                <w:rFonts w:eastAsia="TimesNewRomanPSMT"/>
                <w:sz w:val="20"/>
              </w:rPr>
              <w:t>POWAI</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BHIWANDI</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VIRAR</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THANE</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AMBARNATH</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NERUL</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lastRenderedPageBreak/>
              <w:t>PANVEL</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TURBHE</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NHAVASHEVA</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KARANJA</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VERSOVA</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MUD, MALAD </w:t>
            </w:r>
          </w:p>
        </w:tc>
        <w:tc>
          <w:tcPr>
            <w:tcW w:w="905" w:type="dxa"/>
          </w:tcPr>
          <w:p w:rsidR="00277DA5" w:rsidRPr="007368C7" w:rsidRDefault="00277DA5" w:rsidP="00C638CA">
            <w:pPr>
              <w:pStyle w:val="BodyText"/>
              <w:tabs>
                <w:tab w:val="left" w:pos="826"/>
              </w:tabs>
              <w:rPr>
                <w:rFonts w:eastAsia="TimesNewRomanPSMT"/>
                <w:sz w:val="20"/>
              </w:rPr>
            </w:pPr>
          </w:p>
        </w:tc>
        <w:tc>
          <w:tcPr>
            <w:tcW w:w="1673"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134" w:type="dxa"/>
          </w:tcPr>
          <w:p w:rsidR="00277DA5" w:rsidRPr="007368C7" w:rsidRDefault="00277DA5" w:rsidP="00C638CA">
            <w:pPr>
              <w:pStyle w:val="BodyText"/>
              <w:tabs>
                <w:tab w:val="left" w:pos="826"/>
              </w:tabs>
              <w:rPr>
                <w:rFonts w:eastAsia="TimesNewRomanPSMT"/>
                <w:sz w:val="20"/>
              </w:rPr>
            </w:pPr>
          </w:p>
        </w:tc>
        <w:tc>
          <w:tcPr>
            <w:tcW w:w="1857" w:type="dxa"/>
          </w:tcPr>
          <w:p w:rsidR="00277DA5" w:rsidRPr="007368C7" w:rsidRDefault="00277DA5" w:rsidP="00C638CA">
            <w:pPr>
              <w:pStyle w:val="BodyText"/>
              <w:tabs>
                <w:tab w:val="left" w:pos="826"/>
              </w:tabs>
              <w:rPr>
                <w:rFonts w:eastAsia="TimesNewRomanPSMT"/>
                <w:sz w:val="20"/>
              </w:rPr>
            </w:pPr>
          </w:p>
        </w:tc>
        <w:tc>
          <w:tcPr>
            <w:tcW w:w="1345" w:type="dxa"/>
          </w:tcPr>
          <w:p w:rsidR="00277DA5" w:rsidRPr="007368C7" w:rsidRDefault="00277DA5" w:rsidP="00C638CA">
            <w:pPr>
              <w:pStyle w:val="BodyText"/>
              <w:tabs>
                <w:tab w:val="left" w:pos="826"/>
              </w:tabs>
              <w:rPr>
                <w:rFonts w:eastAsia="TimesNewRomanPSMT"/>
                <w:sz w:val="20"/>
              </w:rPr>
            </w:pPr>
          </w:p>
        </w:tc>
      </w:tr>
      <w:tr w:rsidR="00277DA5" w:rsidRPr="007368C7" w:rsidTr="00C638CA">
        <w:tc>
          <w:tcPr>
            <w:tcW w:w="1641"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 xml:space="preserve">DETENTION CHG  </w:t>
            </w:r>
          </w:p>
        </w:tc>
        <w:tc>
          <w:tcPr>
            <w:tcW w:w="905"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500</w:t>
            </w:r>
          </w:p>
        </w:tc>
        <w:tc>
          <w:tcPr>
            <w:tcW w:w="1673"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500</w:t>
            </w:r>
          </w:p>
        </w:tc>
        <w:tc>
          <w:tcPr>
            <w:tcW w:w="1134"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750</w:t>
            </w:r>
          </w:p>
        </w:tc>
        <w:tc>
          <w:tcPr>
            <w:tcW w:w="1134" w:type="dxa"/>
          </w:tcPr>
          <w:p w:rsidR="00277DA5" w:rsidRPr="007368C7" w:rsidRDefault="00277DA5" w:rsidP="00C638CA">
            <w:pPr>
              <w:pStyle w:val="BodyText"/>
              <w:tabs>
                <w:tab w:val="left" w:pos="826"/>
              </w:tabs>
              <w:rPr>
                <w:rFonts w:eastAsia="TimesNewRomanPSMT"/>
                <w:sz w:val="20"/>
              </w:rPr>
            </w:pPr>
            <w:r>
              <w:rPr>
                <w:rFonts w:eastAsia="TimesNewRomanPSMT"/>
                <w:sz w:val="20"/>
              </w:rPr>
              <w:t>1000</w:t>
            </w:r>
          </w:p>
        </w:tc>
        <w:tc>
          <w:tcPr>
            <w:tcW w:w="1857"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1500</w:t>
            </w:r>
          </w:p>
        </w:tc>
        <w:tc>
          <w:tcPr>
            <w:tcW w:w="1345" w:type="dxa"/>
          </w:tcPr>
          <w:p w:rsidR="00277DA5" w:rsidRPr="007368C7" w:rsidRDefault="00277DA5" w:rsidP="00C638CA">
            <w:pPr>
              <w:pStyle w:val="BodyText"/>
              <w:tabs>
                <w:tab w:val="left" w:pos="826"/>
              </w:tabs>
              <w:rPr>
                <w:rFonts w:eastAsia="TimesNewRomanPSMT"/>
                <w:sz w:val="20"/>
              </w:rPr>
            </w:pPr>
            <w:r w:rsidRPr="007368C7">
              <w:rPr>
                <w:rFonts w:eastAsia="TimesNewRomanPSMT"/>
                <w:sz w:val="20"/>
              </w:rPr>
              <w:t>2000</w:t>
            </w:r>
          </w:p>
        </w:tc>
      </w:tr>
    </w:tbl>
    <w:p w:rsidR="00277DA5" w:rsidRPr="007368C7" w:rsidRDefault="00277DA5" w:rsidP="00277DA5">
      <w:pPr>
        <w:pStyle w:val="BodyText"/>
        <w:tabs>
          <w:tab w:val="left" w:pos="826"/>
        </w:tabs>
        <w:jc w:val="both"/>
        <w:rPr>
          <w:rFonts w:eastAsia="TimesNewRomanPSMT"/>
          <w:b/>
          <w:bCs/>
          <w:sz w:val="20"/>
        </w:rPr>
      </w:pPr>
      <w:proofErr w:type="gramStart"/>
      <w:r w:rsidRPr="007368C7">
        <w:rPr>
          <w:rFonts w:eastAsia="TimesNewRomanPSMT"/>
          <w:b/>
          <w:bCs/>
          <w:sz w:val="20"/>
        </w:rPr>
        <w:t>Conditions :</w:t>
      </w:r>
      <w:proofErr w:type="gramEnd"/>
      <w:r w:rsidRPr="007368C7">
        <w:rPr>
          <w:rFonts w:eastAsia="TimesNewRomanPSMT"/>
          <w:b/>
          <w:bCs/>
          <w:sz w:val="20"/>
        </w:rPr>
        <w:t>-</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bidder shall have minimum 3 </w:t>
      </w:r>
      <w:proofErr w:type="spellStart"/>
      <w:proofErr w:type="gramStart"/>
      <w:r w:rsidRPr="007368C7">
        <w:rPr>
          <w:rFonts w:eastAsia="TimesNewRomanPSMT"/>
          <w:sz w:val="20"/>
        </w:rPr>
        <w:t>years  experience</w:t>
      </w:r>
      <w:proofErr w:type="spellEnd"/>
      <w:proofErr w:type="gramEnd"/>
      <w:r w:rsidRPr="007368C7">
        <w:rPr>
          <w:rFonts w:eastAsia="TimesNewRomanPSMT"/>
          <w:sz w:val="20"/>
        </w:rPr>
        <w:t xml:space="preserve">  in transportation of  goods preferably  sensitive and valuable  cargo with  </w:t>
      </w:r>
      <w:proofErr w:type="spellStart"/>
      <w:r w:rsidRPr="007368C7">
        <w:rPr>
          <w:rFonts w:eastAsia="TimesNewRomanPSMT"/>
          <w:sz w:val="20"/>
        </w:rPr>
        <w:t>Govt</w:t>
      </w:r>
      <w:proofErr w:type="spellEnd"/>
      <w:r w:rsidRPr="007368C7">
        <w:rPr>
          <w:rFonts w:eastAsia="TimesNewRomanPSMT"/>
          <w:sz w:val="20"/>
        </w:rPr>
        <w:t xml:space="preserve"> Department/PSU /other reputed companies.</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w:t>
      </w:r>
      <w:proofErr w:type="gramStart"/>
      <w:r w:rsidRPr="007368C7">
        <w:rPr>
          <w:rFonts w:eastAsia="TimesNewRomanPSMT"/>
          <w:sz w:val="20"/>
        </w:rPr>
        <w:t>bidder  shall</w:t>
      </w:r>
      <w:proofErr w:type="gramEnd"/>
      <w:r w:rsidRPr="007368C7">
        <w:rPr>
          <w:rFonts w:eastAsia="TimesNewRomanPSMT"/>
          <w:sz w:val="20"/>
        </w:rPr>
        <w:t xml:space="preserve"> have  office  in Mumbai equipped  with telephone , fax  and e-mail facilities.</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bidder company shall be </w:t>
      </w:r>
      <w:proofErr w:type="gramStart"/>
      <w:r w:rsidRPr="007368C7">
        <w:rPr>
          <w:rFonts w:eastAsia="TimesNewRomanPSMT"/>
          <w:sz w:val="20"/>
        </w:rPr>
        <w:t>registered  under</w:t>
      </w:r>
      <w:proofErr w:type="gramEnd"/>
      <w:r w:rsidRPr="007368C7">
        <w:rPr>
          <w:rFonts w:eastAsia="TimesNewRomanPSMT"/>
          <w:sz w:val="20"/>
        </w:rPr>
        <w:t xml:space="preserve"> carrier Act  &amp; on   Carrier Risk’ consignment note  shall be   issued. In case of  shortage  loss or damage to the cargo while in custody of  transporter, It will be  the responsibility  of  the transporter to file the necessary FIR Lodgment  of </w:t>
      </w:r>
      <w:proofErr w:type="spellStart"/>
      <w:r w:rsidRPr="007368C7">
        <w:rPr>
          <w:rFonts w:eastAsia="TimesNewRomanPSMT"/>
          <w:sz w:val="20"/>
        </w:rPr>
        <w:t>Intintal</w:t>
      </w:r>
      <w:proofErr w:type="spellEnd"/>
      <w:r w:rsidRPr="007368C7">
        <w:rPr>
          <w:rFonts w:eastAsia="TimesNewRomanPSMT"/>
          <w:sz w:val="20"/>
        </w:rPr>
        <w:t xml:space="preserve">  claim and  issue  un conditional  &amp; unqualified short  certificate  failure to provide  damage   certificate  will result in withholding of transporter bill and  will be  liable for  consequential losses  if any. The </w:t>
      </w:r>
      <w:proofErr w:type="gramStart"/>
      <w:r w:rsidRPr="007368C7">
        <w:rPr>
          <w:rFonts w:eastAsia="TimesNewRomanPSMT"/>
          <w:sz w:val="20"/>
        </w:rPr>
        <w:t>transporter  shall</w:t>
      </w:r>
      <w:proofErr w:type="gramEnd"/>
      <w:r w:rsidRPr="007368C7">
        <w:rPr>
          <w:rFonts w:eastAsia="TimesNewRomanPSMT"/>
          <w:sz w:val="20"/>
        </w:rPr>
        <w:t xml:space="preserve"> inform  day to day  movement of vehicle  as required.</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w:t>
      </w:r>
      <w:proofErr w:type="gramStart"/>
      <w:r w:rsidRPr="007368C7">
        <w:rPr>
          <w:rFonts w:eastAsia="TimesNewRomanPSMT"/>
          <w:sz w:val="20"/>
        </w:rPr>
        <w:t>bidder  should</w:t>
      </w:r>
      <w:proofErr w:type="gramEnd"/>
      <w:r w:rsidRPr="007368C7">
        <w:rPr>
          <w:rFonts w:eastAsia="TimesNewRomanPSMT"/>
          <w:sz w:val="20"/>
        </w:rPr>
        <w:t xml:space="preserve"> be registered  with us and  eligible  to quote for tenders.</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No </w:t>
      </w:r>
      <w:proofErr w:type="gramStart"/>
      <w:r w:rsidRPr="007368C7">
        <w:rPr>
          <w:rFonts w:eastAsia="TimesNewRomanPSMT"/>
          <w:sz w:val="20"/>
        </w:rPr>
        <w:t>detention  charges</w:t>
      </w:r>
      <w:proofErr w:type="gramEnd"/>
      <w:r w:rsidRPr="007368C7">
        <w:rPr>
          <w:rFonts w:eastAsia="TimesNewRomanPSMT"/>
          <w:sz w:val="20"/>
        </w:rPr>
        <w:t xml:space="preserve"> are  payable  </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Rates quoted should </w:t>
      </w:r>
      <w:proofErr w:type="gramStart"/>
      <w:r w:rsidRPr="007368C7">
        <w:rPr>
          <w:rFonts w:eastAsia="TimesNewRomanPSMT"/>
          <w:sz w:val="20"/>
        </w:rPr>
        <w:t>be  inclusive</w:t>
      </w:r>
      <w:proofErr w:type="gramEnd"/>
      <w:r w:rsidRPr="007368C7">
        <w:rPr>
          <w:rFonts w:eastAsia="TimesNewRomanPSMT"/>
          <w:sz w:val="20"/>
        </w:rPr>
        <w:t xml:space="preserve"> of  </w:t>
      </w:r>
      <w:proofErr w:type="spellStart"/>
      <w:r w:rsidRPr="007368C7">
        <w:rPr>
          <w:rFonts w:eastAsia="TimesNewRomanPSMT"/>
          <w:sz w:val="20"/>
        </w:rPr>
        <w:t>labour</w:t>
      </w:r>
      <w:proofErr w:type="spellEnd"/>
      <w:r w:rsidRPr="007368C7">
        <w:rPr>
          <w:rFonts w:eastAsia="TimesNewRomanPSMT"/>
          <w:sz w:val="20"/>
        </w:rPr>
        <w:t xml:space="preserve"> and Taxes  and no escalation  shall be permitted</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transporter will </w:t>
      </w:r>
      <w:proofErr w:type="gramStart"/>
      <w:r w:rsidRPr="007368C7">
        <w:rPr>
          <w:rFonts w:eastAsia="TimesNewRomanPSMT"/>
          <w:sz w:val="20"/>
        </w:rPr>
        <w:t>inform  1</w:t>
      </w:r>
      <w:proofErr w:type="gramEnd"/>
      <w:r w:rsidRPr="007368C7">
        <w:rPr>
          <w:rFonts w:eastAsia="TimesNewRomanPSMT"/>
          <w:sz w:val="20"/>
        </w:rPr>
        <w:t xml:space="preserve"> day in advance  for placement of vehicle  </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Validity </w:t>
      </w:r>
      <w:proofErr w:type="gramStart"/>
      <w:r w:rsidRPr="007368C7">
        <w:rPr>
          <w:rFonts w:eastAsia="TimesNewRomanPSMT"/>
          <w:sz w:val="20"/>
        </w:rPr>
        <w:t>of  the</w:t>
      </w:r>
      <w:proofErr w:type="gramEnd"/>
      <w:r w:rsidRPr="007368C7">
        <w:rPr>
          <w:rFonts w:eastAsia="TimesNewRomanPSMT"/>
          <w:sz w:val="20"/>
        </w:rPr>
        <w:t xml:space="preserve">  rates : 60 day from opening of  tender</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The transporter  has to  arrange  for the  unloading  of all packages weighing  </w:t>
      </w:r>
      <w:proofErr w:type="spellStart"/>
      <w:r w:rsidRPr="007368C7">
        <w:rPr>
          <w:rFonts w:eastAsia="TimesNewRomanPSMT"/>
          <w:sz w:val="20"/>
        </w:rPr>
        <w:t>upto</w:t>
      </w:r>
      <w:proofErr w:type="spellEnd"/>
      <w:r w:rsidRPr="007368C7">
        <w:rPr>
          <w:rFonts w:eastAsia="TimesNewRomanPSMT"/>
          <w:sz w:val="20"/>
        </w:rPr>
        <w:t xml:space="preserve"> 100 </w:t>
      </w:r>
      <w:proofErr w:type="spellStart"/>
      <w:r w:rsidRPr="007368C7">
        <w:rPr>
          <w:rFonts w:eastAsia="TimesNewRomanPSMT"/>
          <w:sz w:val="20"/>
        </w:rPr>
        <w:t>kgs</w:t>
      </w:r>
      <w:proofErr w:type="spellEnd"/>
      <w:r w:rsidRPr="007368C7">
        <w:rPr>
          <w:rFonts w:eastAsia="TimesNewRomanPSMT"/>
          <w:sz w:val="20"/>
        </w:rPr>
        <w:t xml:space="preserve">  at  the destinations and for  package  above 100 </w:t>
      </w:r>
      <w:proofErr w:type="spellStart"/>
      <w:r w:rsidRPr="007368C7">
        <w:rPr>
          <w:rFonts w:eastAsia="TimesNewRomanPSMT"/>
          <w:sz w:val="20"/>
        </w:rPr>
        <w:t>kgs</w:t>
      </w:r>
      <w:proofErr w:type="spellEnd"/>
      <w:r w:rsidRPr="007368C7">
        <w:rPr>
          <w:rFonts w:eastAsia="TimesNewRomanPSMT"/>
          <w:sz w:val="20"/>
        </w:rPr>
        <w:t xml:space="preserve">  unloading charges would be arranged by us   </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The  transporter  should  check the cargo for any damage  to  cargo at the  time of acceptance , If there  are no remarks  mentioned in  the back side of  BL  copy of challan , then no claim  would be  accepted by the company.</w:t>
      </w:r>
    </w:p>
    <w:p w:rsidR="00277DA5" w:rsidRPr="007368C7" w:rsidRDefault="00277DA5" w:rsidP="00277DA5">
      <w:pPr>
        <w:widowControl/>
        <w:tabs>
          <w:tab w:val="left" w:pos="283"/>
          <w:tab w:val="left" w:pos="826"/>
          <w:tab w:val="left" w:pos="1170"/>
          <w:tab w:val="left" w:pos="1350"/>
          <w:tab w:val="left" w:pos="8550"/>
        </w:tabs>
        <w:suppressAutoHyphens w:val="0"/>
        <w:overflowPunct/>
        <w:autoSpaceDE/>
        <w:jc w:val="both"/>
        <w:textAlignment w:val="auto"/>
        <w:rPr>
          <w:bCs/>
          <w:color w:val="auto"/>
          <w:sz w:val="20"/>
        </w:rPr>
      </w:pPr>
      <w:r w:rsidRPr="007368C7">
        <w:rPr>
          <w:bCs/>
          <w:color w:val="auto"/>
          <w:sz w:val="20"/>
        </w:rPr>
        <w:t xml:space="preserve">Successful tendered has to submit security deposit </w:t>
      </w:r>
      <w:proofErr w:type="spellStart"/>
      <w:r w:rsidRPr="007368C7">
        <w:rPr>
          <w:bCs/>
          <w:color w:val="auto"/>
          <w:sz w:val="20"/>
        </w:rPr>
        <w:t>Rs</w:t>
      </w:r>
      <w:proofErr w:type="spellEnd"/>
      <w:r w:rsidRPr="007368C7">
        <w:rPr>
          <w:bCs/>
          <w:color w:val="auto"/>
          <w:sz w:val="20"/>
        </w:rPr>
        <w:t xml:space="preserve">. 5000 in form of </w:t>
      </w:r>
      <w:proofErr w:type="spellStart"/>
      <w:r w:rsidRPr="007368C7">
        <w:rPr>
          <w:bCs/>
          <w:color w:val="auto"/>
          <w:sz w:val="20"/>
        </w:rPr>
        <w:t>Cheque</w:t>
      </w:r>
      <w:proofErr w:type="spellEnd"/>
      <w:r w:rsidRPr="007368C7">
        <w:rPr>
          <w:bCs/>
          <w:color w:val="auto"/>
          <w:sz w:val="20"/>
        </w:rPr>
        <w:t>/Demand Draft which will be returned on successful completion of contract.</w:t>
      </w:r>
    </w:p>
    <w:p w:rsidR="00277DA5" w:rsidRPr="007368C7" w:rsidRDefault="00277DA5" w:rsidP="00277DA5">
      <w:pPr>
        <w:widowControl/>
        <w:tabs>
          <w:tab w:val="left" w:pos="283"/>
          <w:tab w:val="left" w:pos="826"/>
          <w:tab w:val="left" w:pos="1170"/>
          <w:tab w:val="left" w:pos="1350"/>
          <w:tab w:val="left" w:pos="8550"/>
        </w:tabs>
        <w:suppressAutoHyphens w:val="0"/>
        <w:overflowPunct/>
        <w:autoSpaceDE/>
        <w:ind w:left="144"/>
        <w:jc w:val="both"/>
        <w:textAlignment w:val="auto"/>
        <w:rPr>
          <w:bCs/>
          <w:color w:val="auto"/>
          <w:sz w:val="20"/>
        </w:rPr>
      </w:pPr>
    </w:p>
    <w:p w:rsidR="00277DA5" w:rsidRPr="007368C7" w:rsidRDefault="00277DA5" w:rsidP="00277DA5">
      <w:pPr>
        <w:tabs>
          <w:tab w:val="left" w:pos="566"/>
          <w:tab w:val="left" w:pos="826"/>
          <w:tab w:val="left" w:pos="1170"/>
          <w:tab w:val="left" w:pos="1350"/>
          <w:tab w:val="left" w:pos="7380"/>
          <w:tab w:val="left" w:pos="7740"/>
          <w:tab w:val="left" w:pos="8460"/>
          <w:tab w:val="left" w:pos="8550"/>
        </w:tabs>
        <w:spacing w:after="120"/>
        <w:ind w:right="-720"/>
        <w:jc w:val="both"/>
        <w:rPr>
          <w:sz w:val="20"/>
        </w:rPr>
      </w:pPr>
      <w:r w:rsidRPr="007368C7">
        <w:rPr>
          <w:sz w:val="20"/>
        </w:rPr>
        <w:t xml:space="preserve">The  vendor has to  submit Earnest Money Deposit of </w:t>
      </w:r>
      <w:proofErr w:type="spellStart"/>
      <w:r w:rsidRPr="007368C7">
        <w:rPr>
          <w:sz w:val="20"/>
        </w:rPr>
        <w:t>Rs</w:t>
      </w:r>
      <w:proofErr w:type="spellEnd"/>
      <w:r w:rsidRPr="007368C7">
        <w:rPr>
          <w:sz w:val="20"/>
        </w:rPr>
        <w:t xml:space="preserve">. 10000.00 </w:t>
      </w:r>
      <w:proofErr w:type="spellStart"/>
      <w:r w:rsidRPr="007368C7">
        <w:rPr>
          <w:sz w:val="20"/>
        </w:rPr>
        <w:t>favouring</w:t>
      </w:r>
      <w:proofErr w:type="spellEnd"/>
      <w:r w:rsidRPr="007368C7">
        <w:rPr>
          <w:sz w:val="20"/>
        </w:rPr>
        <w:t xml:space="preserve">  Balmer Lawrie &amp; Co Ltd  which would be returned on award of contract to  successful  </w:t>
      </w:r>
      <w:proofErr w:type="spellStart"/>
      <w:r w:rsidRPr="007368C7">
        <w:rPr>
          <w:sz w:val="20"/>
        </w:rPr>
        <w:t>tenderer.Those</w:t>
      </w:r>
      <w:proofErr w:type="spellEnd"/>
      <w:r w:rsidRPr="007368C7">
        <w:rPr>
          <w:sz w:val="20"/>
        </w:rPr>
        <w:t xml:space="preserve">  transporter  who  have submitted their running  EMD   need not  submit .   </w:t>
      </w:r>
    </w:p>
    <w:p w:rsidR="00277DA5" w:rsidRPr="007368C7" w:rsidRDefault="00277DA5" w:rsidP="00277DA5">
      <w:pPr>
        <w:pStyle w:val="BodyText"/>
        <w:tabs>
          <w:tab w:val="left" w:pos="826"/>
        </w:tabs>
        <w:jc w:val="both"/>
        <w:rPr>
          <w:rFonts w:eastAsia="TimesNewRomanPSMT"/>
          <w:sz w:val="20"/>
        </w:rPr>
      </w:pPr>
      <w:r w:rsidRPr="007368C7">
        <w:rPr>
          <w:rFonts w:eastAsia="TimesNewRomanPSMT"/>
          <w:b/>
          <w:bCs/>
          <w:sz w:val="20"/>
        </w:rPr>
        <w:t>Due date</w:t>
      </w:r>
      <w:r w:rsidRPr="007368C7">
        <w:rPr>
          <w:rFonts w:eastAsia="TimesNewRomanPSMT"/>
          <w:sz w:val="20"/>
        </w:rPr>
        <w:t xml:space="preserve">:-The sealed  cover should be    clearly super scribed  as </w:t>
      </w:r>
      <w:r w:rsidRPr="007368C7">
        <w:rPr>
          <w:rFonts w:eastAsia="TimesNewRomanPSMT"/>
          <w:b/>
          <w:bCs/>
          <w:sz w:val="20"/>
        </w:rPr>
        <w:t>TENDER FOR  TRANSPORTATION TO  VARIOUS DESTINATION</w:t>
      </w:r>
      <w:r w:rsidRPr="007368C7">
        <w:rPr>
          <w:rFonts w:eastAsia="TimesNewRomanPSMT"/>
          <w:sz w:val="20"/>
        </w:rPr>
        <w:t xml:space="preserve"> “  due on </w:t>
      </w:r>
      <w:r>
        <w:rPr>
          <w:rFonts w:eastAsia="TimesNewRomanPSMT"/>
          <w:sz w:val="20"/>
        </w:rPr>
        <w:t xml:space="preserve">04.09.2020 </w:t>
      </w:r>
      <w:r w:rsidRPr="007368C7">
        <w:rPr>
          <w:rFonts w:eastAsia="TimesNewRomanPSMT"/>
          <w:sz w:val="20"/>
        </w:rPr>
        <w:t xml:space="preserve"> at 16.00 </w:t>
      </w:r>
      <w:proofErr w:type="spellStart"/>
      <w:r w:rsidRPr="007368C7">
        <w:rPr>
          <w:rFonts w:eastAsia="TimesNewRomanPSMT"/>
          <w:sz w:val="20"/>
        </w:rPr>
        <w:t>hrs</w:t>
      </w:r>
      <w:proofErr w:type="spellEnd"/>
      <w:r w:rsidRPr="007368C7">
        <w:rPr>
          <w:rFonts w:eastAsia="TimesNewRomanPSMT"/>
          <w:sz w:val="20"/>
        </w:rPr>
        <w:t xml:space="preserve"> and  addressed  to   </w:t>
      </w:r>
      <w:proofErr w:type="spellStart"/>
      <w:r>
        <w:rPr>
          <w:rFonts w:eastAsia="TimesNewRomanPSMT"/>
          <w:sz w:val="20"/>
        </w:rPr>
        <w:t>Sr</w:t>
      </w:r>
      <w:proofErr w:type="spellEnd"/>
      <w:r w:rsidRPr="007368C7">
        <w:rPr>
          <w:rFonts w:eastAsia="TimesNewRomanPSMT"/>
          <w:sz w:val="20"/>
        </w:rPr>
        <w:t xml:space="preserve"> Branch Manager (LS)  Balmer Lawrie  &amp; Co Ltd   , 101, 103  Ascot Centre, D.P. Road, Andheri East, Mumbai 400 099.. </w:t>
      </w:r>
      <w:proofErr w:type="gramStart"/>
      <w:r w:rsidRPr="007368C7">
        <w:rPr>
          <w:rFonts w:eastAsia="TimesNewRomanPSMT"/>
          <w:sz w:val="20"/>
        </w:rPr>
        <w:t>the</w:t>
      </w:r>
      <w:proofErr w:type="gramEnd"/>
      <w:r w:rsidRPr="007368C7">
        <w:rPr>
          <w:rFonts w:eastAsia="TimesNewRomanPSMT"/>
          <w:sz w:val="20"/>
        </w:rPr>
        <w:t xml:space="preserve"> enquiry is also available on our  website  </w:t>
      </w:r>
      <w:hyperlink r:id="rId7" w:history="1">
        <w:r w:rsidRPr="007368C7">
          <w:rPr>
            <w:rStyle w:val="Hyperlink"/>
            <w:rFonts w:eastAsia="TimesNewRomanPSMT"/>
            <w:sz w:val="20"/>
          </w:rPr>
          <w:t>www.balmerlawrie.com</w:t>
        </w:r>
      </w:hyperlink>
      <w:r w:rsidRPr="007368C7">
        <w:rPr>
          <w:rFonts w:eastAsia="TimesNewRomanPSMT"/>
          <w:sz w:val="20"/>
        </w:rPr>
        <w:t xml:space="preserve">. </w:t>
      </w:r>
      <w:r w:rsidRPr="007368C7">
        <w:rPr>
          <w:rFonts w:eastAsia="TimesNewRomanPSMT"/>
          <w:sz w:val="20"/>
        </w:rPr>
        <w:tab/>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 </w:t>
      </w:r>
      <w:r w:rsidRPr="007368C7">
        <w:rPr>
          <w:rFonts w:eastAsia="TimesNewRomanPSMT"/>
          <w:b/>
          <w:bCs/>
          <w:sz w:val="20"/>
        </w:rPr>
        <w:t xml:space="preserve">Payment terms :-  </w:t>
      </w:r>
      <w:r w:rsidRPr="007368C7">
        <w:rPr>
          <w:rFonts w:eastAsia="TimesNewRomanPSMT"/>
          <w:sz w:val="20"/>
        </w:rPr>
        <w:t xml:space="preserve">30 days  after submission of  bill duly  supported by acknowledge  delivery  challan confirming receipt of cargo  in  sound  condition </w:t>
      </w: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Default="00277DA5" w:rsidP="00277DA5">
      <w:pPr>
        <w:tabs>
          <w:tab w:val="left" w:pos="566"/>
          <w:tab w:val="left" w:pos="826"/>
          <w:tab w:val="left" w:pos="1170"/>
          <w:tab w:val="left" w:pos="1350"/>
          <w:tab w:val="left" w:pos="8550"/>
        </w:tabs>
        <w:spacing w:after="120"/>
        <w:ind w:right="-30"/>
        <w:jc w:val="both"/>
        <w:rPr>
          <w:b/>
          <w:bCs/>
          <w:sz w:val="20"/>
        </w:rPr>
      </w:pPr>
    </w:p>
    <w:p w:rsidR="00277DA5" w:rsidRPr="007368C7" w:rsidRDefault="00277DA5" w:rsidP="00277DA5">
      <w:pPr>
        <w:tabs>
          <w:tab w:val="left" w:pos="566"/>
          <w:tab w:val="left" w:pos="826"/>
          <w:tab w:val="left" w:pos="1170"/>
          <w:tab w:val="left" w:pos="1350"/>
          <w:tab w:val="left" w:pos="8550"/>
        </w:tabs>
        <w:spacing w:after="120"/>
        <w:ind w:right="-30"/>
        <w:jc w:val="both"/>
        <w:rPr>
          <w:color w:val="auto"/>
          <w:sz w:val="20"/>
        </w:rPr>
      </w:pPr>
      <w:r w:rsidRPr="007368C7">
        <w:rPr>
          <w:b/>
          <w:bCs/>
          <w:sz w:val="20"/>
        </w:rPr>
        <w:t>Earnest Money Deposit</w:t>
      </w:r>
      <w:r w:rsidRPr="007368C7">
        <w:rPr>
          <w:sz w:val="20"/>
        </w:rPr>
        <w:t xml:space="preserve">  :- The  transporter has to  submit Earnest Money Deposit of </w:t>
      </w:r>
      <w:proofErr w:type="spellStart"/>
      <w:r w:rsidRPr="007368C7">
        <w:rPr>
          <w:sz w:val="20"/>
        </w:rPr>
        <w:t>Rs</w:t>
      </w:r>
      <w:proofErr w:type="spellEnd"/>
      <w:r w:rsidRPr="007368C7">
        <w:rPr>
          <w:sz w:val="20"/>
        </w:rPr>
        <w:t xml:space="preserve">. 10000.00 </w:t>
      </w:r>
      <w:proofErr w:type="spellStart"/>
      <w:r w:rsidRPr="007368C7">
        <w:rPr>
          <w:sz w:val="20"/>
        </w:rPr>
        <w:t>favouring</w:t>
      </w:r>
      <w:proofErr w:type="spellEnd"/>
      <w:r w:rsidRPr="007368C7">
        <w:rPr>
          <w:sz w:val="20"/>
        </w:rPr>
        <w:t xml:space="preserve">  Balmer Lawrie  &amp;  Co Ltd  which would be returned on award of contract to  successful  </w:t>
      </w:r>
      <w:proofErr w:type="spellStart"/>
      <w:r w:rsidRPr="007368C7">
        <w:rPr>
          <w:sz w:val="20"/>
        </w:rPr>
        <w:t>tenderer.Those</w:t>
      </w:r>
      <w:proofErr w:type="spellEnd"/>
      <w:r w:rsidRPr="007368C7">
        <w:rPr>
          <w:sz w:val="20"/>
        </w:rPr>
        <w:t xml:space="preserve">  transporter  who  have submitted their running  EMD   need not  submit the same  .   </w:t>
      </w:r>
    </w:p>
    <w:p w:rsidR="00277DA5" w:rsidRPr="007368C7" w:rsidRDefault="00277DA5" w:rsidP="00277DA5">
      <w:pPr>
        <w:widowControl/>
        <w:tabs>
          <w:tab w:val="left" w:pos="283"/>
          <w:tab w:val="left" w:pos="826"/>
          <w:tab w:val="left" w:pos="1170"/>
          <w:tab w:val="left" w:pos="1350"/>
          <w:tab w:val="left" w:pos="8550"/>
        </w:tabs>
        <w:suppressAutoHyphens w:val="0"/>
        <w:overflowPunct/>
        <w:autoSpaceDE/>
        <w:ind w:right="-30"/>
        <w:jc w:val="both"/>
        <w:textAlignment w:val="auto"/>
        <w:rPr>
          <w:sz w:val="20"/>
        </w:rPr>
      </w:pPr>
    </w:p>
    <w:p w:rsidR="00277DA5" w:rsidRPr="007368C7" w:rsidRDefault="00277DA5" w:rsidP="00277DA5">
      <w:pPr>
        <w:widowControl/>
        <w:tabs>
          <w:tab w:val="left" w:pos="283"/>
          <w:tab w:val="left" w:pos="826"/>
          <w:tab w:val="left" w:pos="1170"/>
          <w:tab w:val="left" w:pos="1350"/>
          <w:tab w:val="left" w:pos="8550"/>
        </w:tabs>
        <w:suppressAutoHyphens w:val="0"/>
        <w:overflowPunct/>
        <w:autoSpaceDE/>
        <w:ind w:right="-30"/>
        <w:jc w:val="both"/>
        <w:textAlignment w:val="auto"/>
        <w:rPr>
          <w:color w:val="auto"/>
          <w:sz w:val="20"/>
        </w:rPr>
      </w:pPr>
      <w:r w:rsidRPr="007368C7">
        <w:rPr>
          <w:sz w:val="20"/>
        </w:rPr>
        <w:t xml:space="preserve">The  transporter  who are registered with Logistics services- Mumbai  can  participate in the  </w:t>
      </w:r>
      <w:proofErr w:type="spellStart"/>
      <w:r w:rsidRPr="007368C7">
        <w:rPr>
          <w:sz w:val="20"/>
        </w:rPr>
        <w:t>tender.Whose</w:t>
      </w:r>
      <w:proofErr w:type="spellEnd"/>
      <w:r w:rsidRPr="007368C7">
        <w:rPr>
          <w:sz w:val="20"/>
        </w:rPr>
        <w:t xml:space="preserve">  willing to participate in future  tender enquiries should  get </w:t>
      </w:r>
      <w:proofErr w:type="spellStart"/>
      <w:r w:rsidRPr="007368C7">
        <w:rPr>
          <w:sz w:val="20"/>
        </w:rPr>
        <w:t>themself</w:t>
      </w:r>
      <w:proofErr w:type="spellEnd"/>
      <w:r w:rsidRPr="007368C7">
        <w:rPr>
          <w:sz w:val="20"/>
        </w:rPr>
        <w:t xml:space="preserve">  registered .</w:t>
      </w:r>
    </w:p>
    <w:p w:rsidR="00277DA5" w:rsidRPr="007368C7" w:rsidRDefault="00277DA5" w:rsidP="00277DA5">
      <w:pPr>
        <w:pStyle w:val="TableHeading"/>
        <w:widowControl/>
        <w:tabs>
          <w:tab w:val="left" w:pos="826"/>
        </w:tabs>
        <w:suppressAutoHyphens w:val="0"/>
        <w:overflowPunct/>
        <w:autoSpaceDE/>
        <w:spacing w:after="0"/>
        <w:ind w:left="360"/>
        <w:jc w:val="both"/>
        <w:textAlignment w:val="auto"/>
        <w:rPr>
          <w:b w:val="0"/>
          <w:i w:val="0"/>
          <w:color w:val="auto"/>
          <w:sz w:val="20"/>
        </w:rPr>
      </w:pPr>
    </w:p>
    <w:p w:rsidR="00277DA5" w:rsidRPr="007368C7" w:rsidRDefault="00277DA5" w:rsidP="00277DA5">
      <w:pPr>
        <w:pStyle w:val="TableHeading"/>
        <w:widowControl/>
        <w:tabs>
          <w:tab w:val="left" w:pos="826"/>
        </w:tabs>
        <w:suppressAutoHyphens w:val="0"/>
        <w:overflowPunct/>
        <w:autoSpaceDE/>
        <w:spacing w:after="0"/>
        <w:jc w:val="both"/>
        <w:textAlignment w:val="auto"/>
        <w:rPr>
          <w:b w:val="0"/>
          <w:i w:val="0"/>
          <w:color w:val="auto"/>
          <w:sz w:val="20"/>
        </w:rPr>
      </w:pPr>
      <w:proofErr w:type="gramStart"/>
      <w:r w:rsidRPr="007368C7">
        <w:rPr>
          <w:b w:val="0"/>
          <w:i w:val="0"/>
          <w:color w:val="auto"/>
          <w:sz w:val="20"/>
        </w:rPr>
        <w:t>The  transporters</w:t>
      </w:r>
      <w:proofErr w:type="gramEnd"/>
      <w:r w:rsidRPr="007368C7">
        <w:rPr>
          <w:b w:val="0"/>
          <w:i w:val="0"/>
          <w:color w:val="auto"/>
          <w:sz w:val="20"/>
        </w:rPr>
        <w:t xml:space="preserve"> should  mention  whether the Micro, Small &amp; Medium Enterprises Act, 2006 is applicable to them and  If   they are registered under the same,  a copy of the registration certificate to be enclosed along with your quotation </w:t>
      </w:r>
    </w:p>
    <w:p w:rsidR="00277DA5" w:rsidRPr="007368C7" w:rsidRDefault="00277DA5" w:rsidP="00277DA5">
      <w:pPr>
        <w:pStyle w:val="BodyText"/>
        <w:tabs>
          <w:tab w:val="left" w:pos="826"/>
        </w:tabs>
        <w:jc w:val="both"/>
        <w:rPr>
          <w:rFonts w:eastAsia="TimesNewRomanPSMT"/>
          <w:sz w:val="20"/>
        </w:rPr>
      </w:pPr>
      <w:r w:rsidRPr="007368C7">
        <w:rPr>
          <w:rFonts w:eastAsia="TimesNewRomanPSMT"/>
          <w:sz w:val="20"/>
        </w:rPr>
        <w:t xml:space="preserve">   </w:t>
      </w:r>
    </w:p>
    <w:p w:rsidR="00277DA5" w:rsidRPr="007368C7" w:rsidRDefault="00277DA5" w:rsidP="00277DA5">
      <w:pPr>
        <w:pStyle w:val="BodyText"/>
        <w:tabs>
          <w:tab w:val="left" w:pos="826"/>
        </w:tabs>
        <w:jc w:val="both"/>
        <w:rPr>
          <w:rFonts w:eastAsia="TimesNewRomanPSMT"/>
          <w:sz w:val="20"/>
        </w:rPr>
      </w:pPr>
      <w:r w:rsidRPr="007368C7">
        <w:rPr>
          <w:rFonts w:eastAsia="TimesNewRomanPSMT"/>
          <w:b/>
          <w:bCs/>
          <w:sz w:val="20"/>
        </w:rPr>
        <w:t>Security deposit</w:t>
      </w:r>
      <w:r w:rsidRPr="007368C7">
        <w:rPr>
          <w:rFonts w:eastAsia="TimesNewRomanPSMT"/>
          <w:sz w:val="20"/>
        </w:rPr>
        <w:t xml:space="preserve"> :-  The successful bidder  has  to  submit Interest free  security deposit of </w:t>
      </w:r>
      <w:proofErr w:type="spellStart"/>
      <w:r w:rsidRPr="007368C7">
        <w:rPr>
          <w:rFonts w:eastAsia="TimesNewRomanPSMT"/>
          <w:sz w:val="20"/>
        </w:rPr>
        <w:t>Rs</w:t>
      </w:r>
      <w:proofErr w:type="spellEnd"/>
      <w:r w:rsidRPr="007368C7">
        <w:rPr>
          <w:rFonts w:eastAsia="TimesNewRomanPSMT"/>
          <w:sz w:val="20"/>
        </w:rPr>
        <w:t xml:space="preserve">. 5000  in form  of  </w:t>
      </w:r>
      <w:proofErr w:type="spellStart"/>
      <w:r w:rsidRPr="007368C7">
        <w:rPr>
          <w:rFonts w:eastAsia="TimesNewRomanPSMT"/>
          <w:sz w:val="20"/>
        </w:rPr>
        <w:t>cheque</w:t>
      </w:r>
      <w:proofErr w:type="spellEnd"/>
      <w:r w:rsidRPr="007368C7">
        <w:rPr>
          <w:rFonts w:eastAsia="TimesNewRomanPSMT"/>
          <w:sz w:val="20"/>
        </w:rPr>
        <w:t xml:space="preserve"> /demand Draft,  The security  deposit  would be  returned  on  successful  completion of  contract.</w:t>
      </w:r>
    </w:p>
    <w:p w:rsidR="00277DA5" w:rsidRPr="007368C7" w:rsidRDefault="00277DA5" w:rsidP="00277DA5">
      <w:pPr>
        <w:pStyle w:val="BodyText"/>
        <w:tabs>
          <w:tab w:val="left" w:pos="826"/>
        </w:tabs>
        <w:jc w:val="both"/>
        <w:rPr>
          <w:rFonts w:eastAsia="TimesNewRomanPSMT"/>
          <w:sz w:val="20"/>
        </w:rPr>
      </w:pPr>
      <w:r w:rsidRPr="007368C7">
        <w:rPr>
          <w:rFonts w:eastAsia="TimesNewRomanPSMT"/>
          <w:b/>
          <w:bCs/>
          <w:sz w:val="20"/>
        </w:rPr>
        <w:t xml:space="preserve"> Non  Placement of   Vehicle :-</w:t>
      </w:r>
      <w:r w:rsidRPr="007368C7">
        <w:rPr>
          <w:rFonts w:eastAsia="TimesNewRomanPSMT"/>
          <w:sz w:val="20"/>
        </w:rPr>
        <w:t xml:space="preserve">If  the  transporter  fails  to place  the vehicle  on request , then  the  company has the option  to hire  vehicle  from outside, Any variation in charges on the  higher side  would  be  deducted from  the  outstanding  bills of the  transporter </w:t>
      </w:r>
    </w:p>
    <w:p w:rsidR="00277DA5" w:rsidRDefault="00277DA5" w:rsidP="00277DA5">
      <w:pPr>
        <w:pStyle w:val="BodyText"/>
        <w:tabs>
          <w:tab w:val="left" w:pos="826"/>
        </w:tabs>
        <w:jc w:val="both"/>
        <w:rPr>
          <w:rFonts w:eastAsia="TimesNewRomanPSMT"/>
          <w:szCs w:val="24"/>
        </w:rPr>
      </w:pPr>
      <w:r>
        <w:rPr>
          <w:rFonts w:eastAsia="TimesNewRomanPSMT"/>
          <w:szCs w:val="24"/>
        </w:rPr>
        <w:t xml:space="preserve">For Balmer </w:t>
      </w:r>
      <w:proofErr w:type="gramStart"/>
      <w:r>
        <w:rPr>
          <w:rFonts w:eastAsia="TimesNewRomanPSMT"/>
          <w:szCs w:val="24"/>
        </w:rPr>
        <w:t>Lawrie  &amp;</w:t>
      </w:r>
      <w:proofErr w:type="gramEnd"/>
      <w:r>
        <w:rPr>
          <w:rFonts w:eastAsia="TimesNewRomanPSMT"/>
          <w:szCs w:val="24"/>
        </w:rPr>
        <w:t xml:space="preserve"> Co Ltd  </w:t>
      </w:r>
    </w:p>
    <w:p w:rsidR="00277DA5" w:rsidRDefault="00277DA5" w:rsidP="00277DA5">
      <w:pPr>
        <w:pStyle w:val="BodyText"/>
        <w:tabs>
          <w:tab w:val="left" w:pos="826"/>
        </w:tabs>
        <w:jc w:val="both"/>
        <w:rPr>
          <w:rFonts w:eastAsia="TimesNewRomanPSMT"/>
          <w:szCs w:val="24"/>
        </w:rPr>
      </w:pPr>
    </w:p>
    <w:p w:rsidR="00277DA5" w:rsidRDefault="00277DA5" w:rsidP="00277DA5">
      <w:pPr>
        <w:pStyle w:val="BodyText"/>
        <w:tabs>
          <w:tab w:val="left" w:pos="826"/>
        </w:tabs>
        <w:jc w:val="both"/>
        <w:rPr>
          <w:rFonts w:eastAsia="TimesNewRomanPSMT"/>
          <w:szCs w:val="24"/>
        </w:rPr>
      </w:pPr>
      <w:proofErr w:type="gramStart"/>
      <w:r>
        <w:rPr>
          <w:rFonts w:eastAsia="TimesNewRomanPSMT"/>
          <w:szCs w:val="24"/>
        </w:rPr>
        <w:t xml:space="preserve">D.B  </w:t>
      </w:r>
      <w:proofErr w:type="spellStart"/>
      <w:r>
        <w:rPr>
          <w:rFonts w:eastAsia="TimesNewRomanPSMT"/>
          <w:szCs w:val="24"/>
        </w:rPr>
        <w:t>Sonawane</w:t>
      </w:r>
      <w:proofErr w:type="spellEnd"/>
      <w:proofErr w:type="gramEnd"/>
      <w:r>
        <w:rPr>
          <w:rFonts w:eastAsia="TimesNewRomanPSMT"/>
          <w:szCs w:val="24"/>
        </w:rPr>
        <w:t xml:space="preserve">   </w:t>
      </w:r>
    </w:p>
    <w:p w:rsidR="00277DA5" w:rsidRDefault="00277DA5" w:rsidP="00277DA5">
      <w:pPr>
        <w:pStyle w:val="BodyText"/>
        <w:tabs>
          <w:tab w:val="left" w:pos="826"/>
        </w:tabs>
        <w:jc w:val="both"/>
        <w:rPr>
          <w:rFonts w:eastAsia="TimesNewRomanPSMT"/>
          <w:szCs w:val="24"/>
        </w:rPr>
      </w:pPr>
      <w:proofErr w:type="spellStart"/>
      <w:r>
        <w:rPr>
          <w:rFonts w:eastAsia="TimesNewRomanPSMT"/>
          <w:szCs w:val="24"/>
        </w:rPr>
        <w:t>Sr</w:t>
      </w:r>
      <w:proofErr w:type="spellEnd"/>
      <w:r>
        <w:rPr>
          <w:rFonts w:eastAsia="TimesNewRomanPSMT"/>
          <w:szCs w:val="24"/>
        </w:rPr>
        <w:t xml:space="preserve"> Branch Manager </w:t>
      </w:r>
    </w:p>
    <w:p w:rsidR="00277DA5" w:rsidRDefault="00277DA5" w:rsidP="00277DA5">
      <w:pPr>
        <w:pStyle w:val="BodyText"/>
        <w:tabs>
          <w:tab w:val="left" w:pos="826"/>
        </w:tabs>
      </w:pPr>
    </w:p>
    <w:p w:rsidR="00277DA5" w:rsidRDefault="00277DA5" w:rsidP="00277DA5"/>
    <w:p w:rsidR="00596CC2" w:rsidRDefault="00D840D9"/>
    <w:sectPr w:rsidR="00596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Gautami"/>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A5"/>
    <w:rsid w:val="001614F3"/>
    <w:rsid w:val="00277DA5"/>
    <w:rsid w:val="00671D59"/>
    <w:rsid w:val="00D840D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B243-B48B-48C0-9C54-E3115AAD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77DA5"/>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7"/>
    <w:rsid w:val="00277DA5"/>
    <w:rPr>
      <w:color w:val="000080"/>
      <w:u w:val="single"/>
    </w:rPr>
  </w:style>
  <w:style w:type="paragraph" w:styleId="BodyText">
    <w:name w:val="Body Text"/>
    <w:basedOn w:val="Normal"/>
    <w:link w:val="BodyTextChar"/>
    <w:uiPriority w:val="7"/>
    <w:rsid w:val="00277DA5"/>
    <w:pPr>
      <w:spacing w:after="120"/>
    </w:pPr>
  </w:style>
  <w:style w:type="character" w:customStyle="1" w:styleId="BodyTextChar">
    <w:name w:val="Body Text Char"/>
    <w:basedOn w:val="DefaultParagraphFont"/>
    <w:link w:val="BodyText"/>
    <w:uiPriority w:val="7"/>
    <w:rsid w:val="00277DA5"/>
    <w:rPr>
      <w:rFonts w:ascii="Times New Roman" w:eastAsia="Times New Roman" w:hAnsi="Times New Roman" w:cs="Times New Roman"/>
      <w:color w:val="000000"/>
      <w:sz w:val="24"/>
      <w:lang w:val="en-US" w:eastAsia="ar-SA" w:bidi="ar-SA"/>
    </w:rPr>
  </w:style>
  <w:style w:type="paragraph" w:customStyle="1" w:styleId="TableHeading">
    <w:name w:val="Table Heading"/>
    <w:basedOn w:val="Normal"/>
    <w:uiPriority w:val="6"/>
    <w:rsid w:val="00277DA5"/>
    <w:pPr>
      <w:suppressLineNumbers/>
      <w:spacing w:after="120"/>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lmerlawri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ZAKHIR KHAN</dc:creator>
  <cp:keywords/>
  <dc:description/>
  <cp:lastModifiedBy>ZAKHIR KHAN</cp:lastModifiedBy>
  <cp:revision>2</cp:revision>
  <dcterms:created xsi:type="dcterms:W3CDTF">2020-08-25T03:44:00Z</dcterms:created>
  <dcterms:modified xsi:type="dcterms:W3CDTF">2020-08-25T03:48:00Z</dcterms:modified>
</cp:coreProperties>
</file>